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176" w:rsidRDefault="00060176" w:rsidP="00060176">
      <w:pPr>
        <w:tabs>
          <w:tab w:val="left" w:pos="0"/>
        </w:tabs>
        <w:spacing w:after="120" w:line="480" w:lineRule="auto"/>
        <w:jc w:val="center"/>
        <w:rPr>
          <w:b/>
          <w:u w:val="single"/>
          <w:lang w:val="nl-NL"/>
        </w:rPr>
      </w:pPr>
      <w:r w:rsidRPr="008C0581">
        <w:rPr>
          <w:b/>
          <w:u w:val="single"/>
          <w:lang w:val="nl-NL"/>
        </w:rPr>
        <w:t>CÁC QUY ĐỊNH CHUNG VÀ CÁC QUY ĐỊNH VỀ TÀI CHÍNH</w:t>
      </w:r>
    </w:p>
    <w:p w:rsidR="00060176" w:rsidRPr="008C0581" w:rsidRDefault="00060176" w:rsidP="00060176">
      <w:pPr>
        <w:tabs>
          <w:tab w:val="left" w:pos="0"/>
        </w:tabs>
        <w:spacing w:after="120" w:line="480" w:lineRule="auto"/>
        <w:jc w:val="center"/>
        <w:rPr>
          <w:b/>
          <w:u w:val="single"/>
          <w:lang w:val="nl-NL"/>
        </w:rPr>
      </w:pPr>
      <w:r>
        <w:rPr>
          <w:b/>
          <w:u w:val="single"/>
          <w:lang w:val="nl-NL"/>
        </w:rPr>
        <w:t>LIÊN QUAN TỚI HỌC BỔNG DO WBI CẤP</w:t>
      </w:r>
      <w:bookmarkStart w:id="0" w:name="_GoBack"/>
      <w:bookmarkEnd w:id="0"/>
    </w:p>
    <w:p w:rsidR="00060176" w:rsidRDefault="00060176" w:rsidP="00060176">
      <w:pPr>
        <w:spacing w:after="200" w:line="276" w:lineRule="auto"/>
        <w:contextualSpacing/>
        <w:jc w:val="both"/>
        <w:rPr>
          <w:b/>
          <w:u w:val="single"/>
          <w:lang w:val="nl-NL"/>
        </w:rPr>
      </w:pPr>
    </w:p>
    <w:p w:rsidR="00060176" w:rsidRPr="00060176" w:rsidRDefault="00060176" w:rsidP="00060176">
      <w:pPr>
        <w:numPr>
          <w:ilvl w:val="0"/>
          <w:numId w:val="2"/>
        </w:numPr>
        <w:spacing w:after="200" w:line="276" w:lineRule="auto"/>
        <w:contextualSpacing/>
        <w:jc w:val="both"/>
        <w:rPr>
          <w:b/>
          <w:u w:val="single"/>
          <w:lang w:val="nl-NL"/>
        </w:rPr>
      </w:pPr>
      <w:r w:rsidRPr="00060176">
        <w:rPr>
          <w:b/>
          <w:u w:val="single"/>
          <w:lang w:val="nl-NL"/>
        </w:rPr>
        <w:t>Học bổng tiến sĩ, chuyên ngành, nghiên cứu, thực tập chuyên môn</w:t>
      </w:r>
    </w:p>
    <w:p w:rsidR="00060176" w:rsidRPr="008C0581" w:rsidRDefault="00060176" w:rsidP="00060176">
      <w:pPr>
        <w:jc w:val="both"/>
        <w:rPr>
          <w:lang w:val="nl-NL"/>
        </w:rPr>
      </w:pPr>
    </w:p>
    <w:p w:rsidR="00060176" w:rsidRPr="008C0581" w:rsidRDefault="00060176" w:rsidP="00060176">
      <w:pPr>
        <w:jc w:val="both"/>
        <w:rPr>
          <w:lang w:val="nl-NL"/>
        </w:rPr>
      </w:pPr>
      <w:r w:rsidRPr="008C0581">
        <w:rPr>
          <w:lang w:val="nl-NL"/>
        </w:rPr>
        <w:t>Các học bổng</w:t>
      </w:r>
      <w:r>
        <w:rPr>
          <w:lang w:val="nl-NL"/>
        </w:rPr>
        <w:t xml:space="preserve"> học tập do Wallonie-Bruxelles</w:t>
      </w:r>
      <w:r w:rsidRPr="008C0581">
        <w:rPr>
          <w:lang w:val="nl-NL"/>
        </w:rPr>
        <w:t xml:space="preserve"> cấp chỉ dành cho các dự án hợp tác được nêu trong chương trình hợp tác này.</w:t>
      </w:r>
    </w:p>
    <w:p w:rsidR="00060176" w:rsidRPr="008C0581" w:rsidRDefault="00060176" w:rsidP="00060176">
      <w:pPr>
        <w:jc w:val="both"/>
        <w:rPr>
          <w:lang w:val="nl-NL"/>
        </w:rPr>
      </w:pPr>
    </w:p>
    <w:p w:rsidR="00060176" w:rsidRPr="008C0581" w:rsidRDefault="00060176" w:rsidP="00060176">
      <w:pPr>
        <w:jc w:val="both"/>
        <w:rPr>
          <w:lang w:val="nl-NL"/>
        </w:rPr>
      </w:pPr>
      <w:r w:rsidRPr="008C0581">
        <w:rPr>
          <w:lang w:val="nl-NL"/>
        </w:rPr>
        <w:t>Các học bổng dài hạn cũng chỉ dành cho các nghiên cứu sinh tiến sĩ (thời hạn trung bình là 4 năm) và các sinh viên theo học các chương trình đào tạo sau đại học được cấp chứng chỉ (1 hoặc 2 năm).</w:t>
      </w:r>
    </w:p>
    <w:p w:rsidR="00060176" w:rsidRPr="008C0581" w:rsidRDefault="00060176" w:rsidP="00060176">
      <w:pPr>
        <w:jc w:val="both"/>
        <w:rPr>
          <w:lang w:val="nl-NL"/>
        </w:rPr>
      </w:pPr>
    </w:p>
    <w:p w:rsidR="00060176" w:rsidRPr="008C0581" w:rsidRDefault="00060176" w:rsidP="00060176">
      <w:pPr>
        <w:jc w:val="both"/>
        <w:rPr>
          <w:lang w:val="nl-NL"/>
        </w:rPr>
      </w:pPr>
      <w:r w:rsidRPr="008C0581">
        <w:rPr>
          <w:lang w:val="nl-NL"/>
        </w:rPr>
        <w:t>Các học bổng dài hạn có thể được chuyển đổi thành học bổng đồng hướng dẫn. Các trường hợp gia hạn học bổng nếu có sẽ được ưu tiên.</w:t>
      </w:r>
    </w:p>
    <w:p w:rsidR="00060176" w:rsidRPr="008C0581" w:rsidRDefault="00060176" w:rsidP="00060176">
      <w:pPr>
        <w:jc w:val="both"/>
        <w:rPr>
          <w:lang w:val="nl-NL"/>
        </w:rPr>
      </w:pPr>
    </w:p>
    <w:p w:rsidR="00060176" w:rsidRPr="008C0581" w:rsidRDefault="00060176" w:rsidP="00060176">
      <w:pPr>
        <w:tabs>
          <w:tab w:val="left" w:pos="993"/>
        </w:tabs>
        <w:jc w:val="both"/>
        <w:rPr>
          <w:b/>
          <w:u w:val="single"/>
          <w:lang w:val="nl-NL"/>
        </w:rPr>
      </w:pPr>
      <w:r w:rsidRPr="008C0581">
        <w:rPr>
          <w:b/>
          <w:u w:val="single"/>
          <w:lang w:val="nl-NL"/>
        </w:rPr>
        <w:t>Hồ sơ xin cấp học bổng</w:t>
      </w:r>
    </w:p>
    <w:p w:rsidR="00060176" w:rsidRPr="008C0581" w:rsidRDefault="00060176" w:rsidP="00060176">
      <w:pPr>
        <w:tabs>
          <w:tab w:val="left" w:pos="993"/>
        </w:tabs>
        <w:jc w:val="both"/>
        <w:rPr>
          <w:lang w:val="nl-NL"/>
        </w:rPr>
      </w:pPr>
    </w:p>
    <w:p w:rsidR="00060176" w:rsidRPr="008C0581" w:rsidRDefault="00060176" w:rsidP="00060176">
      <w:pPr>
        <w:tabs>
          <w:tab w:val="left" w:pos="993"/>
        </w:tabs>
        <w:jc w:val="both"/>
        <w:rPr>
          <w:lang w:val="nl-NL"/>
        </w:rPr>
      </w:pPr>
      <w:r w:rsidRPr="008C0581">
        <w:rPr>
          <w:lang w:val="nl-NL"/>
        </w:rPr>
        <w:t>Ứng cử viên xin học bổng dài hạn phải có một bằng đại học hoặc bằng cấp tương đương.</w:t>
      </w:r>
    </w:p>
    <w:p w:rsidR="00060176" w:rsidRPr="008C0581" w:rsidRDefault="00060176" w:rsidP="00060176">
      <w:pPr>
        <w:tabs>
          <w:tab w:val="left" w:pos="993"/>
        </w:tabs>
        <w:jc w:val="both"/>
        <w:rPr>
          <w:lang w:val="nl-NL"/>
        </w:rPr>
      </w:pPr>
    </w:p>
    <w:p w:rsidR="00060176" w:rsidRPr="008C0581" w:rsidRDefault="00060176" w:rsidP="00060176">
      <w:pPr>
        <w:tabs>
          <w:tab w:val="left" w:pos="993"/>
        </w:tabs>
        <w:jc w:val="both"/>
        <w:rPr>
          <w:lang w:val="nl-NL"/>
        </w:rPr>
      </w:pPr>
      <w:r w:rsidRPr="008C0581">
        <w:rPr>
          <w:lang w:val="nl-NL"/>
        </w:rPr>
        <w:t>Hồ sơ xin cấp học bổng được lập theo mẫu do Wallonie-Bruxelles ban hành và phải nộp chính thức qua đường ngoại giao. Hồ sơ gồm có:</w:t>
      </w:r>
    </w:p>
    <w:p w:rsidR="00060176" w:rsidRPr="008C0581" w:rsidRDefault="00060176" w:rsidP="00060176">
      <w:pPr>
        <w:numPr>
          <w:ilvl w:val="0"/>
          <w:numId w:val="1"/>
        </w:numPr>
        <w:tabs>
          <w:tab w:val="num" w:pos="540"/>
          <w:tab w:val="left" w:pos="993"/>
        </w:tabs>
        <w:ind w:left="540" w:hanging="540"/>
        <w:jc w:val="both"/>
        <w:rPr>
          <w:lang w:val="nl-NL"/>
        </w:rPr>
      </w:pPr>
      <w:r w:rsidRPr="008C0581">
        <w:rPr>
          <w:lang w:val="nl-NL"/>
        </w:rPr>
        <w:t>thời hạn du học cụ thể theo nguyện vọng của người xin cấp học bổng;</w:t>
      </w:r>
    </w:p>
    <w:p w:rsidR="00060176" w:rsidRPr="008C0581" w:rsidRDefault="00060176" w:rsidP="00060176">
      <w:pPr>
        <w:numPr>
          <w:ilvl w:val="0"/>
          <w:numId w:val="1"/>
        </w:numPr>
        <w:tabs>
          <w:tab w:val="num" w:pos="540"/>
          <w:tab w:val="left" w:pos="993"/>
        </w:tabs>
        <w:ind w:left="540" w:hanging="540"/>
        <w:jc w:val="both"/>
        <w:rPr>
          <w:lang w:val="nl-NL"/>
        </w:rPr>
      </w:pPr>
      <w:r w:rsidRPr="008C0581">
        <w:rPr>
          <w:lang w:val="nl-NL"/>
        </w:rPr>
        <w:t>sơ yếu lý lịch chi tiết;</w:t>
      </w:r>
    </w:p>
    <w:p w:rsidR="00060176" w:rsidRPr="008C0581" w:rsidRDefault="00060176" w:rsidP="00060176">
      <w:pPr>
        <w:numPr>
          <w:ilvl w:val="0"/>
          <w:numId w:val="1"/>
        </w:numPr>
        <w:tabs>
          <w:tab w:val="num" w:pos="540"/>
          <w:tab w:val="left" w:pos="993"/>
        </w:tabs>
        <w:ind w:left="540" w:hanging="540"/>
        <w:jc w:val="both"/>
        <w:rPr>
          <w:lang w:val="nl-NL"/>
        </w:rPr>
      </w:pPr>
      <w:r w:rsidRPr="008C0581">
        <w:rPr>
          <w:lang w:val="nl-NL"/>
        </w:rPr>
        <w:t>danh mục các bài viết đã công</w:t>
      </w:r>
      <w:r>
        <w:rPr>
          <w:lang w:val="nl-NL"/>
        </w:rPr>
        <w:t xml:space="preserve"> bố (đối với học bổng chuyên ngành</w:t>
      </w:r>
      <w:r w:rsidRPr="008C0581">
        <w:rPr>
          <w:lang w:val="nl-NL"/>
        </w:rPr>
        <w:t xml:space="preserve"> hoặc học bổng nghiên cứu);</w:t>
      </w:r>
    </w:p>
    <w:p w:rsidR="00060176" w:rsidRPr="008C0581" w:rsidRDefault="00060176" w:rsidP="00060176">
      <w:pPr>
        <w:numPr>
          <w:ilvl w:val="0"/>
          <w:numId w:val="1"/>
        </w:numPr>
        <w:tabs>
          <w:tab w:val="num" w:pos="540"/>
          <w:tab w:val="left" w:pos="993"/>
        </w:tabs>
        <w:ind w:left="540" w:hanging="540"/>
        <w:jc w:val="both"/>
        <w:rPr>
          <w:lang w:val="nl-NL"/>
        </w:rPr>
      </w:pPr>
      <w:r w:rsidRPr="008C0581">
        <w:rPr>
          <w:lang w:val="nl-NL"/>
        </w:rPr>
        <w:t>nếu có, tên của Trường Đại học hoặc cơ sở đào tạo tại Cộng đồng nói tiếng Pháp của Bỉ nơi đăng ký học, nghiên cứu hay thực tập;</w:t>
      </w:r>
    </w:p>
    <w:p w:rsidR="00060176" w:rsidRPr="008C0581" w:rsidRDefault="00060176" w:rsidP="00060176">
      <w:pPr>
        <w:numPr>
          <w:ilvl w:val="0"/>
          <w:numId w:val="1"/>
        </w:numPr>
        <w:tabs>
          <w:tab w:val="num" w:pos="540"/>
          <w:tab w:val="left" w:pos="993"/>
        </w:tabs>
        <w:ind w:left="540" w:hanging="540"/>
        <w:jc w:val="both"/>
        <w:rPr>
          <w:lang w:val="nl-NL"/>
        </w:rPr>
      </w:pPr>
      <w:r w:rsidRPr="008C0581">
        <w:rPr>
          <w:lang w:val="nl-NL"/>
        </w:rPr>
        <w:t>ý kiến của lãnh đạo cơ quan cử đi học.</w:t>
      </w:r>
    </w:p>
    <w:p w:rsidR="00060176" w:rsidRPr="008C0581" w:rsidRDefault="00060176" w:rsidP="00060176">
      <w:pPr>
        <w:jc w:val="both"/>
        <w:rPr>
          <w:i/>
          <w:lang w:val="nl-NL"/>
        </w:rPr>
      </w:pPr>
    </w:p>
    <w:p w:rsidR="00060176" w:rsidRPr="008C0581" w:rsidRDefault="00060176" w:rsidP="00060176">
      <w:pPr>
        <w:jc w:val="both"/>
        <w:rPr>
          <w:lang w:val="nl-NL" w:eastAsia="fr-FR"/>
        </w:rPr>
      </w:pPr>
      <w:r w:rsidRPr="008C0581">
        <w:rPr>
          <w:lang w:val="nl-NL" w:eastAsia="fr-FR"/>
        </w:rPr>
        <w:t>Hồ sơ ứng cử viên do các đối tác Việt Nam tham gia các dự án hợp tác nêu trong chương trình hợp tác này tuyển chọn, dựa trên đề xuất chung của các giáo sư đồng đối tác của Cộng đồng nói tiếng Pháp của Bỉ và của Việt Nam. Các hồ sơ này sẽ được các cơ quan có thẩm quyền chuyển cho Phái đoàn Wallonie-Bruxelles tại Hà Nội, kèm theo một thư giới thiệu ứng cử viên của cơ quan có liên quan của Việt Nam.</w:t>
      </w:r>
    </w:p>
    <w:p w:rsidR="00060176" w:rsidRPr="008C0581" w:rsidRDefault="00060176" w:rsidP="00060176">
      <w:pPr>
        <w:tabs>
          <w:tab w:val="left" w:pos="142"/>
        </w:tabs>
        <w:jc w:val="both"/>
        <w:rPr>
          <w:lang w:val="nl-NL"/>
        </w:rPr>
      </w:pPr>
    </w:p>
    <w:p w:rsidR="00060176" w:rsidRPr="008C0581" w:rsidRDefault="00060176" w:rsidP="00060176">
      <w:pPr>
        <w:tabs>
          <w:tab w:val="left" w:pos="142"/>
        </w:tabs>
        <w:jc w:val="both"/>
        <w:rPr>
          <w:b/>
          <w:iCs/>
          <w:u w:val="single"/>
          <w:lang w:val="nl-NL"/>
        </w:rPr>
      </w:pPr>
      <w:r w:rsidRPr="008C0581">
        <w:rPr>
          <w:b/>
          <w:iCs/>
          <w:u w:val="single"/>
          <w:lang w:val="nl-NL"/>
        </w:rPr>
        <w:t>Thủ tục lựa chọn</w:t>
      </w:r>
    </w:p>
    <w:p w:rsidR="00060176" w:rsidRPr="008C0581" w:rsidRDefault="00060176" w:rsidP="00060176">
      <w:pPr>
        <w:jc w:val="both"/>
        <w:rPr>
          <w:lang w:val="nl-NL"/>
        </w:rPr>
      </w:pPr>
    </w:p>
    <w:p w:rsidR="00060176" w:rsidRPr="008C0581" w:rsidRDefault="00060176" w:rsidP="00060176">
      <w:pPr>
        <w:jc w:val="both"/>
        <w:rPr>
          <w:lang w:val="nl-NL"/>
        </w:rPr>
      </w:pPr>
      <w:r w:rsidRPr="008C0581">
        <w:rPr>
          <w:lang w:val="nl-NL"/>
        </w:rPr>
        <w:t>Các ứng cử viên xin cấp học bổng nghiên cứu sẽ do các Cơ quan có thẩm quyền của Chính phủ Việt Nam quyết định lựa chọn sau đó gửi toàn bộ hồ sơ theo các thời hạn sau đây:</w:t>
      </w:r>
    </w:p>
    <w:p w:rsidR="00060176" w:rsidRPr="008C0581" w:rsidRDefault="00060176" w:rsidP="00060176">
      <w:pPr>
        <w:jc w:val="both"/>
        <w:rPr>
          <w:lang w:val="nl-NL"/>
        </w:rPr>
      </w:pPr>
    </w:p>
    <w:p w:rsidR="00060176" w:rsidRPr="008C0581" w:rsidRDefault="00060176" w:rsidP="00060176">
      <w:pPr>
        <w:numPr>
          <w:ilvl w:val="0"/>
          <w:numId w:val="1"/>
        </w:numPr>
        <w:tabs>
          <w:tab w:val="num" w:pos="540"/>
          <w:tab w:val="left" w:pos="993"/>
        </w:tabs>
        <w:ind w:left="540" w:hanging="540"/>
        <w:jc w:val="both"/>
        <w:rPr>
          <w:lang w:val="nl-NL"/>
        </w:rPr>
      </w:pPr>
      <w:r w:rsidRPr="008C0581">
        <w:rPr>
          <w:lang w:val="nl-NL"/>
        </w:rPr>
        <w:t>trước ngày 01/11 nếu thời hạn nghiên cứu từ ngày 01/01 đến ngày 30/04 năm sau</w:t>
      </w:r>
    </w:p>
    <w:p w:rsidR="00060176" w:rsidRPr="008C0581" w:rsidRDefault="00060176" w:rsidP="00060176">
      <w:pPr>
        <w:numPr>
          <w:ilvl w:val="0"/>
          <w:numId w:val="1"/>
        </w:numPr>
        <w:tabs>
          <w:tab w:val="num" w:pos="540"/>
          <w:tab w:val="left" w:pos="993"/>
        </w:tabs>
        <w:ind w:left="540" w:hanging="540"/>
        <w:jc w:val="both"/>
        <w:rPr>
          <w:lang w:val="nl-NL"/>
        </w:rPr>
      </w:pPr>
      <w:r w:rsidRPr="008C0581">
        <w:rPr>
          <w:lang w:val="nl-NL"/>
        </w:rPr>
        <w:t>trước ngày 01/03 nếu thời hạn nghiên cứu từ ngày 01/05 đến ngày 30/09</w:t>
      </w:r>
    </w:p>
    <w:p w:rsidR="00060176" w:rsidRPr="008C0581" w:rsidRDefault="00060176" w:rsidP="00060176">
      <w:pPr>
        <w:numPr>
          <w:ilvl w:val="0"/>
          <w:numId w:val="1"/>
        </w:numPr>
        <w:tabs>
          <w:tab w:val="num" w:pos="540"/>
          <w:tab w:val="left" w:pos="993"/>
        </w:tabs>
        <w:ind w:left="540" w:hanging="540"/>
        <w:jc w:val="both"/>
        <w:rPr>
          <w:lang w:val="nl-NL"/>
        </w:rPr>
      </w:pPr>
      <w:r w:rsidRPr="008C0581">
        <w:rPr>
          <w:lang w:val="nl-NL"/>
        </w:rPr>
        <w:t>trước ngày 01/07 nếu thời hạn nghiên cứu từ ngày 01/10 đến ngày 31/12</w:t>
      </w:r>
    </w:p>
    <w:p w:rsidR="00060176" w:rsidRPr="008C0581" w:rsidRDefault="00060176" w:rsidP="00060176">
      <w:pPr>
        <w:tabs>
          <w:tab w:val="num" w:pos="0"/>
        </w:tabs>
        <w:jc w:val="both"/>
        <w:rPr>
          <w:lang w:val="nl-NL"/>
        </w:rPr>
      </w:pPr>
    </w:p>
    <w:p w:rsidR="00060176" w:rsidRPr="008C0581" w:rsidRDefault="00060176" w:rsidP="00060176">
      <w:pPr>
        <w:tabs>
          <w:tab w:val="num" w:pos="0"/>
        </w:tabs>
        <w:jc w:val="both"/>
        <w:rPr>
          <w:lang w:val="nl-NL"/>
        </w:rPr>
      </w:pPr>
      <w:r w:rsidRPr="008C0581">
        <w:rPr>
          <w:lang w:val="nl-NL"/>
        </w:rPr>
        <w:lastRenderedPageBreak/>
        <w:t xml:space="preserve">Trong thời hạn ít nhất </w:t>
      </w:r>
      <w:r w:rsidRPr="00D40C21">
        <w:rPr>
          <w:b/>
          <w:lang w:val="nl-NL"/>
        </w:rPr>
        <w:t>hai tháng</w:t>
      </w:r>
      <w:r w:rsidRPr="008C0581">
        <w:rPr>
          <w:lang w:val="nl-NL"/>
        </w:rPr>
        <w:t xml:space="preserve"> trước đó, Bên gửi ứng viên xin học bổng phải cung cấp các thông tin cụ thể về ngày khởi hành của người được cấp học bổng. Thời hạn cư trú sẽ được xác định cùng với trường đại học nơi người được cấp học bổng đăng ký học, và sẽ không thể thay đổi, trừ trường hợp có lý do chính đáng.</w:t>
      </w:r>
    </w:p>
    <w:p w:rsidR="00060176" w:rsidRPr="008C0581" w:rsidRDefault="00060176" w:rsidP="00060176">
      <w:pPr>
        <w:tabs>
          <w:tab w:val="num" w:pos="0"/>
        </w:tabs>
        <w:jc w:val="both"/>
        <w:rPr>
          <w:lang w:val="nl-NL"/>
        </w:rPr>
      </w:pPr>
    </w:p>
    <w:p w:rsidR="00060176" w:rsidRPr="008C0581" w:rsidRDefault="00060176" w:rsidP="00060176">
      <w:pPr>
        <w:tabs>
          <w:tab w:val="num" w:pos="0"/>
        </w:tabs>
        <w:jc w:val="both"/>
        <w:rPr>
          <w:lang w:val="nl-NL"/>
        </w:rPr>
      </w:pPr>
    </w:p>
    <w:p w:rsidR="00060176" w:rsidRPr="008C0581" w:rsidRDefault="00060176" w:rsidP="00060176">
      <w:pPr>
        <w:tabs>
          <w:tab w:val="num" w:pos="0"/>
        </w:tabs>
        <w:jc w:val="both"/>
        <w:rPr>
          <w:b/>
          <w:u w:val="single"/>
          <w:lang w:val="nl-NL"/>
        </w:rPr>
      </w:pPr>
      <w:r w:rsidRPr="008C0581">
        <w:rPr>
          <w:b/>
          <w:u w:val="single"/>
          <w:lang w:val="nl-NL"/>
        </w:rPr>
        <w:t>Vé máy bay</w:t>
      </w:r>
    </w:p>
    <w:p w:rsidR="00060176" w:rsidRPr="008C0581" w:rsidRDefault="00060176" w:rsidP="00060176">
      <w:pPr>
        <w:tabs>
          <w:tab w:val="num" w:pos="0"/>
        </w:tabs>
        <w:jc w:val="both"/>
        <w:rPr>
          <w:b/>
          <w:u w:val="single"/>
          <w:lang w:val="nl-NL"/>
        </w:rPr>
      </w:pPr>
    </w:p>
    <w:p w:rsidR="00060176" w:rsidRPr="008C0581" w:rsidRDefault="00060176" w:rsidP="00060176">
      <w:pPr>
        <w:tabs>
          <w:tab w:val="num" w:pos="0"/>
        </w:tabs>
        <w:jc w:val="both"/>
        <w:rPr>
          <w:lang w:val="nl-NL"/>
        </w:rPr>
      </w:pPr>
      <w:r w:rsidRPr="008C0581">
        <w:rPr>
          <w:lang w:val="nl-NL"/>
        </w:rPr>
        <w:t>Phía Việt Nam sẽ chi trả tiền vé máy bay cho chuyên gia hay ứng viên xin học bổng của mình.</w:t>
      </w:r>
    </w:p>
    <w:p w:rsidR="00060176" w:rsidRPr="008C0581" w:rsidRDefault="00060176" w:rsidP="00060176">
      <w:pPr>
        <w:tabs>
          <w:tab w:val="num" w:pos="0"/>
        </w:tabs>
        <w:jc w:val="both"/>
        <w:rPr>
          <w:i/>
          <w:iCs/>
          <w:u w:val="single"/>
          <w:lang w:val="nl-NL"/>
        </w:rPr>
      </w:pPr>
    </w:p>
    <w:p w:rsidR="00060176" w:rsidRPr="008C0581" w:rsidRDefault="00060176" w:rsidP="00060176">
      <w:pPr>
        <w:pStyle w:val="ListParagraph"/>
        <w:numPr>
          <w:ilvl w:val="1"/>
          <w:numId w:val="6"/>
        </w:numPr>
        <w:tabs>
          <w:tab w:val="left" w:pos="540"/>
        </w:tabs>
        <w:jc w:val="both"/>
        <w:rPr>
          <w:b/>
          <w:iCs/>
          <w:u w:val="single"/>
          <w:lang w:val="nl-NL"/>
        </w:rPr>
      </w:pPr>
      <w:r w:rsidRPr="008C0581">
        <w:rPr>
          <w:b/>
          <w:iCs/>
          <w:lang w:val="nl-NL"/>
        </w:rPr>
        <w:t xml:space="preserve"> </w:t>
      </w:r>
      <w:r w:rsidRPr="008C0581">
        <w:rPr>
          <w:b/>
          <w:iCs/>
          <w:u w:val="single"/>
          <w:lang w:val="nl-NL"/>
        </w:rPr>
        <w:t xml:space="preserve">Học bổng chuyên </w:t>
      </w:r>
      <w:r>
        <w:rPr>
          <w:b/>
          <w:iCs/>
          <w:u w:val="single"/>
          <w:lang w:val="nl-NL"/>
        </w:rPr>
        <w:t xml:space="preserve">ngành </w:t>
      </w:r>
      <w:r w:rsidRPr="008C0581">
        <w:rPr>
          <w:b/>
          <w:iCs/>
          <w:u w:val="single"/>
          <w:lang w:val="nl-NL"/>
        </w:rPr>
        <w:t xml:space="preserve">và tiến sĩ đồng hướng dẫn </w:t>
      </w:r>
    </w:p>
    <w:p w:rsidR="00060176" w:rsidRPr="008C0581" w:rsidRDefault="00060176" w:rsidP="00060176">
      <w:pPr>
        <w:tabs>
          <w:tab w:val="left" w:pos="993"/>
        </w:tabs>
        <w:ind w:left="720"/>
        <w:jc w:val="both"/>
        <w:rPr>
          <w:lang w:val="nl-NL"/>
        </w:rPr>
      </w:pPr>
    </w:p>
    <w:p w:rsidR="00060176" w:rsidRPr="008C0581" w:rsidRDefault="00060176" w:rsidP="00060176">
      <w:pPr>
        <w:pStyle w:val="ListParagraph"/>
        <w:numPr>
          <w:ilvl w:val="0"/>
          <w:numId w:val="3"/>
        </w:numPr>
        <w:tabs>
          <w:tab w:val="left" w:pos="993"/>
        </w:tabs>
        <w:jc w:val="both"/>
        <w:rPr>
          <w:lang w:val="nl-NL"/>
        </w:rPr>
      </w:pPr>
      <w:r w:rsidRPr="008C0581">
        <w:rPr>
          <w:lang w:val="nl-NL"/>
        </w:rPr>
        <w:t>Học bổng hàng tháng: 1.012,32 EUR bao gồm các chi phí sinh hoạt (nhà ở, ăn uống, ...).  Học bổng tháng đầu tiên sẽ được chuyển cho ứng viên ngay khi tới Bỉ.</w:t>
      </w:r>
    </w:p>
    <w:p w:rsidR="00060176" w:rsidRDefault="00060176" w:rsidP="00060176">
      <w:pPr>
        <w:pStyle w:val="ListParagraph"/>
        <w:numPr>
          <w:ilvl w:val="0"/>
          <w:numId w:val="3"/>
        </w:numPr>
        <w:tabs>
          <w:tab w:val="left" w:pos="993"/>
        </w:tabs>
        <w:jc w:val="both"/>
        <w:rPr>
          <w:lang w:val="nl-NL"/>
        </w:rPr>
      </w:pPr>
      <w:r w:rsidRPr="008C0581">
        <w:rPr>
          <w:lang w:val="nl-NL"/>
        </w:rPr>
        <w:t xml:space="preserve">Hoàn trả chi phí mua sách vở và đi lại: 250 </w:t>
      </w:r>
      <w:r>
        <w:rPr>
          <w:lang w:val="nl-NL"/>
        </w:rPr>
        <w:t>EUR/năm. Khoản tiền này sẽ được</w:t>
      </w:r>
    </w:p>
    <w:p w:rsidR="00060176" w:rsidRPr="008C0581" w:rsidRDefault="00060176" w:rsidP="00060176">
      <w:pPr>
        <w:pStyle w:val="ListParagraph"/>
        <w:tabs>
          <w:tab w:val="left" w:pos="993"/>
        </w:tabs>
        <w:ind w:left="1080"/>
        <w:jc w:val="both"/>
        <w:rPr>
          <w:lang w:val="nl-NL"/>
        </w:rPr>
      </w:pPr>
      <w:r w:rsidRPr="008C0581">
        <w:rPr>
          <w:lang w:val="nl-NL"/>
        </w:rPr>
        <w:t>chuyển cho ứng viên thành 2 lần. Lần đầu tiên cùng với học bổng tháng đầu ti</w:t>
      </w:r>
      <w:r>
        <w:rPr>
          <w:lang w:val="nl-NL"/>
        </w:rPr>
        <w:t>ê</w:t>
      </w:r>
      <w:r w:rsidRPr="008C0581">
        <w:rPr>
          <w:lang w:val="nl-NL"/>
        </w:rPr>
        <w:t xml:space="preserve">n. Khoản tiền còn lại sẽ được chuyển cùng với tiền học bổng tháng </w:t>
      </w:r>
      <w:r>
        <w:rPr>
          <w:lang w:val="nl-NL"/>
        </w:rPr>
        <w:t>G</w:t>
      </w:r>
      <w:r w:rsidRPr="008C0581">
        <w:rPr>
          <w:lang w:val="nl-NL"/>
        </w:rPr>
        <w:t>iêng dựa trên hóa đơn gốc.</w:t>
      </w:r>
    </w:p>
    <w:p w:rsidR="00060176" w:rsidRPr="008C0581" w:rsidRDefault="00060176" w:rsidP="00060176">
      <w:pPr>
        <w:pStyle w:val="ListParagraph"/>
        <w:numPr>
          <w:ilvl w:val="0"/>
          <w:numId w:val="3"/>
        </w:numPr>
        <w:tabs>
          <w:tab w:val="left" w:pos="993"/>
        </w:tabs>
        <w:jc w:val="both"/>
        <w:rPr>
          <w:lang w:val="nl-NL"/>
        </w:rPr>
      </w:pPr>
      <w:r w:rsidRPr="008C0581">
        <w:rPr>
          <w:lang w:val="nl-NL"/>
        </w:rPr>
        <w:t xml:space="preserve">Hoàn trả chi phí </w:t>
      </w:r>
      <w:r>
        <w:rPr>
          <w:lang w:val="nl-NL"/>
        </w:rPr>
        <w:t>dụng cụ đồ vật chỗ ở</w:t>
      </w:r>
      <w:r w:rsidRPr="008C0581">
        <w:rPr>
          <w:lang w:val="nl-NL"/>
        </w:rPr>
        <w:t>: 123,95 EUR</w:t>
      </w:r>
      <w:r>
        <w:rPr>
          <w:lang w:val="nl-NL"/>
        </w:rPr>
        <w:t>,</w:t>
      </w:r>
      <w:r w:rsidRPr="008C0581">
        <w:rPr>
          <w:lang w:val="nl-NL"/>
        </w:rPr>
        <w:t xml:space="preserve"> dựa trên hóa đơn gốc.</w:t>
      </w:r>
    </w:p>
    <w:p w:rsidR="00060176" w:rsidRPr="008C0581" w:rsidRDefault="00060176" w:rsidP="00060176">
      <w:pPr>
        <w:pStyle w:val="ListParagraph"/>
        <w:numPr>
          <w:ilvl w:val="0"/>
          <w:numId w:val="3"/>
        </w:numPr>
        <w:tabs>
          <w:tab w:val="left" w:pos="993"/>
        </w:tabs>
        <w:jc w:val="both"/>
        <w:rPr>
          <w:lang w:val="nl-NL"/>
        </w:rPr>
      </w:pPr>
      <w:r w:rsidRPr="008C0581">
        <w:rPr>
          <w:lang w:val="nl-NL"/>
        </w:rPr>
        <w:t>Chi phí i</w:t>
      </w:r>
      <w:r>
        <w:rPr>
          <w:lang w:val="nl-NL"/>
        </w:rPr>
        <w:t>n luận án</w:t>
      </w:r>
      <w:r w:rsidRPr="008C0581">
        <w:rPr>
          <w:lang w:val="nl-NL"/>
        </w:rPr>
        <w:t>: tối đa 185,92 EUR</w:t>
      </w:r>
      <w:r>
        <w:rPr>
          <w:lang w:val="nl-NL"/>
        </w:rPr>
        <w:t>,</w:t>
      </w:r>
      <w:r w:rsidRPr="008C0581">
        <w:rPr>
          <w:lang w:val="nl-NL"/>
        </w:rPr>
        <w:t xml:space="preserve"> dựa trên hóa đơn gốc.</w:t>
      </w:r>
    </w:p>
    <w:p w:rsidR="00060176" w:rsidRPr="008C0581" w:rsidRDefault="00060176" w:rsidP="00060176">
      <w:pPr>
        <w:pStyle w:val="ListParagraph"/>
        <w:numPr>
          <w:ilvl w:val="0"/>
          <w:numId w:val="3"/>
        </w:numPr>
        <w:tabs>
          <w:tab w:val="left" w:pos="993"/>
        </w:tabs>
        <w:jc w:val="both"/>
        <w:rPr>
          <w:lang w:val="nl-NL"/>
        </w:rPr>
      </w:pPr>
      <w:r w:rsidRPr="008C0581">
        <w:rPr>
          <w:lang w:val="nl-NL"/>
        </w:rPr>
        <w:t>Chi phí thuê nhà ở: 400 EUR</w:t>
      </w:r>
      <w:r>
        <w:rPr>
          <w:lang w:val="nl-NL"/>
        </w:rPr>
        <w:t>/tháng,</w:t>
      </w:r>
      <w:r w:rsidRPr="008C0581">
        <w:rPr>
          <w:lang w:val="nl-NL"/>
        </w:rPr>
        <w:t xml:space="preserve"> dựa trên hóa đơn gốc.</w:t>
      </w:r>
    </w:p>
    <w:p w:rsidR="00060176" w:rsidRDefault="00060176" w:rsidP="00060176">
      <w:pPr>
        <w:pStyle w:val="ListParagraph"/>
        <w:numPr>
          <w:ilvl w:val="0"/>
          <w:numId w:val="3"/>
        </w:numPr>
        <w:tabs>
          <w:tab w:val="left" w:pos="993"/>
        </w:tabs>
        <w:jc w:val="both"/>
        <w:rPr>
          <w:lang w:val="nl-NL"/>
        </w:rPr>
      </w:pPr>
      <w:r w:rsidRPr="008C0581">
        <w:rPr>
          <w:lang w:val="nl-NL"/>
        </w:rPr>
        <w:t>Hoàn trả chi phí ghi danh dựa trên hóa đơn gốc.</w:t>
      </w:r>
    </w:p>
    <w:p w:rsidR="00060176" w:rsidRDefault="00060176" w:rsidP="00060176">
      <w:pPr>
        <w:pStyle w:val="ListParagraph"/>
        <w:numPr>
          <w:ilvl w:val="0"/>
          <w:numId w:val="3"/>
        </w:numPr>
        <w:tabs>
          <w:tab w:val="left" w:pos="993"/>
        </w:tabs>
        <w:jc w:val="both"/>
        <w:rPr>
          <w:lang w:val="nl-NL"/>
        </w:rPr>
      </w:pPr>
      <w:r w:rsidRPr="008C0581">
        <w:rPr>
          <w:lang w:val="nl-NL"/>
        </w:rPr>
        <w:t xml:space="preserve">Hoàn trả chi phí </w:t>
      </w:r>
      <w:r>
        <w:rPr>
          <w:lang w:val="nl-NL"/>
        </w:rPr>
        <w:t xml:space="preserve">xét nghiệm Covid 200 EUR </w:t>
      </w:r>
      <w:r w:rsidRPr="008C0581">
        <w:rPr>
          <w:lang w:val="nl-NL"/>
        </w:rPr>
        <w:t>dựa trên hóa đơn gốc.</w:t>
      </w:r>
    </w:p>
    <w:p w:rsidR="00060176" w:rsidRDefault="00060176" w:rsidP="00060176">
      <w:pPr>
        <w:tabs>
          <w:tab w:val="left" w:pos="993"/>
        </w:tabs>
        <w:ind w:left="720"/>
        <w:jc w:val="both"/>
        <w:rPr>
          <w:i/>
          <w:iCs/>
          <w:u w:val="single"/>
          <w:lang w:val="nl-NL"/>
        </w:rPr>
      </w:pPr>
    </w:p>
    <w:p w:rsidR="00060176" w:rsidRPr="008C0581" w:rsidRDefault="00060176" w:rsidP="00060176">
      <w:pPr>
        <w:tabs>
          <w:tab w:val="left" w:pos="993"/>
        </w:tabs>
        <w:ind w:left="720"/>
        <w:jc w:val="both"/>
        <w:rPr>
          <w:i/>
          <w:iCs/>
          <w:u w:val="single"/>
          <w:lang w:val="nl-NL"/>
        </w:rPr>
      </w:pPr>
    </w:p>
    <w:p w:rsidR="00060176" w:rsidRPr="008C0581" w:rsidRDefault="00060176" w:rsidP="00060176">
      <w:pPr>
        <w:pStyle w:val="ListParagraph"/>
        <w:numPr>
          <w:ilvl w:val="1"/>
          <w:numId w:val="5"/>
        </w:numPr>
        <w:tabs>
          <w:tab w:val="left" w:pos="540"/>
        </w:tabs>
        <w:jc w:val="both"/>
        <w:rPr>
          <w:b/>
          <w:iCs/>
          <w:u w:val="single"/>
          <w:lang w:val="nl-NL"/>
        </w:rPr>
      </w:pPr>
      <w:r w:rsidRPr="008C0581">
        <w:rPr>
          <w:b/>
          <w:iCs/>
          <w:lang w:val="nl-NL"/>
        </w:rPr>
        <w:t xml:space="preserve"> </w:t>
      </w:r>
      <w:r w:rsidRPr="008C0581">
        <w:rPr>
          <w:b/>
          <w:iCs/>
          <w:u w:val="single"/>
          <w:lang w:val="nl-NL"/>
        </w:rPr>
        <w:t xml:space="preserve">Học bổng học tập và nghiên cứu </w:t>
      </w:r>
    </w:p>
    <w:p w:rsidR="00060176" w:rsidRPr="008C0581" w:rsidRDefault="00060176" w:rsidP="00060176">
      <w:pPr>
        <w:tabs>
          <w:tab w:val="left" w:pos="540"/>
        </w:tabs>
        <w:ind w:left="900"/>
        <w:contextualSpacing/>
        <w:jc w:val="both"/>
        <w:rPr>
          <w:b/>
          <w:iCs/>
          <w:u w:val="single"/>
          <w:lang w:val="nl-NL"/>
        </w:rPr>
      </w:pPr>
    </w:p>
    <w:p w:rsidR="00060176" w:rsidRPr="008C0581" w:rsidRDefault="00060176" w:rsidP="00060176">
      <w:pPr>
        <w:pStyle w:val="ListParagraph"/>
        <w:numPr>
          <w:ilvl w:val="0"/>
          <w:numId w:val="4"/>
        </w:numPr>
        <w:tabs>
          <w:tab w:val="left" w:pos="993"/>
        </w:tabs>
        <w:jc w:val="both"/>
        <w:rPr>
          <w:lang w:val="nl-NL"/>
        </w:rPr>
      </w:pPr>
      <w:r w:rsidRPr="008C0581">
        <w:rPr>
          <w:lang w:val="nl-NL"/>
        </w:rPr>
        <w:t>Học bổng hàng tháng: 1.012,32 EUR</w:t>
      </w:r>
      <w:r>
        <w:rPr>
          <w:lang w:val="nl-NL"/>
        </w:rPr>
        <w:t>,</w:t>
      </w:r>
      <w:r w:rsidRPr="008C0581">
        <w:rPr>
          <w:lang w:val="nl-NL"/>
        </w:rPr>
        <w:t xml:space="preserve"> bao gồm các chi phí sinh hoạt (nhà ở, ăn uống, ...). Học bổng tháng đầu tiên sẽ được chuyển cho ứng viên ngay khi tới Bỉ.</w:t>
      </w:r>
    </w:p>
    <w:p w:rsidR="00060176" w:rsidRPr="008C0581" w:rsidRDefault="00060176" w:rsidP="00060176">
      <w:pPr>
        <w:pStyle w:val="ListParagraph"/>
        <w:numPr>
          <w:ilvl w:val="0"/>
          <w:numId w:val="4"/>
        </w:numPr>
        <w:tabs>
          <w:tab w:val="left" w:pos="993"/>
        </w:tabs>
        <w:jc w:val="both"/>
        <w:rPr>
          <w:lang w:val="nl-NL"/>
        </w:rPr>
      </w:pPr>
      <w:r w:rsidRPr="008C0581">
        <w:rPr>
          <w:lang w:val="nl-NL"/>
        </w:rPr>
        <w:t>Hoàn trả chi phí mua sách vở và đi lại: 24,79 EUR/tháng</w:t>
      </w:r>
      <w:r>
        <w:rPr>
          <w:lang w:val="nl-NL"/>
        </w:rPr>
        <w:t>,</w:t>
      </w:r>
      <w:r w:rsidRPr="008C0581">
        <w:rPr>
          <w:lang w:val="nl-NL"/>
        </w:rPr>
        <w:t xml:space="preserve"> dựa trên hóa đơn gốc.</w:t>
      </w:r>
    </w:p>
    <w:p w:rsidR="00060176" w:rsidRPr="008C0581" w:rsidRDefault="00060176" w:rsidP="00060176">
      <w:pPr>
        <w:pStyle w:val="ListParagraph"/>
        <w:numPr>
          <w:ilvl w:val="0"/>
          <w:numId w:val="4"/>
        </w:numPr>
        <w:tabs>
          <w:tab w:val="left" w:pos="993"/>
        </w:tabs>
        <w:jc w:val="both"/>
        <w:rPr>
          <w:lang w:val="nl-NL"/>
        </w:rPr>
      </w:pPr>
      <w:r w:rsidRPr="008C0581">
        <w:rPr>
          <w:lang w:val="nl-NL"/>
        </w:rPr>
        <w:t>Chi phí thuê nhà ở: 400 EUR</w:t>
      </w:r>
      <w:r>
        <w:rPr>
          <w:lang w:val="nl-NL"/>
        </w:rPr>
        <w:t>/tháng,</w:t>
      </w:r>
      <w:r w:rsidRPr="008C0581">
        <w:rPr>
          <w:lang w:val="nl-NL"/>
        </w:rPr>
        <w:t xml:space="preserve"> dựa trên hóa đơn gốc.</w:t>
      </w:r>
    </w:p>
    <w:p w:rsidR="00060176" w:rsidRDefault="00060176" w:rsidP="00060176">
      <w:pPr>
        <w:pStyle w:val="ListParagraph"/>
        <w:numPr>
          <w:ilvl w:val="0"/>
          <w:numId w:val="4"/>
        </w:numPr>
        <w:tabs>
          <w:tab w:val="left" w:pos="993"/>
        </w:tabs>
        <w:jc w:val="both"/>
        <w:rPr>
          <w:lang w:val="nl-NL"/>
        </w:rPr>
      </w:pPr>
      <w:r w:rsidRPr="008C0581">
        <w:rPr>
          <w:lang w:val="nl-NL"/>
        </w:rPr>
        <w:t>Hoàn trả chi phí ghi danh dựa trên hóa đơn gốc.</w:t>
      </w:r>
    </w:p>
    <w:p w:rsidR="00060176" w:rsidRDefault="00060176" w:rsidP="00060176">
      <w:pPr>
        <w:pStyle w:val="ListParagraph"/>
        <w:numPr>
          <w:ilvl w:val="0"/>
          <w:numId w:val="4"/>
        </w:numPr>
        <w:tabs>
          <w:tab w:val="left" w:pos="993"/>
        </w:tabs>
        <w:jc w:val="both"/>
        <w:rPr>
          <w:lang w:val="nl-NL"/>
        </w:rPr>
      </w:pPr>
      <w:r w:rsidRPr="008C0581">
        <w:rPr>
          <w:lang w:val="nl-NL"/>
        </w:rPr>
        <w:t xml:space="preserve">Hoàn trả chi phí </w:t>
      </w:r>
      <w:r>
        <w:rPr>
          <w:lang w:val="nl-NL"/>
        </w:rPr>
        <w:t xml:space="preserve">xét nghiệm Covid 200 EUR </w:t>
      </w:r>
      <w:r w:rsidRPr="008C0581">
        <w:rPr>
          <w:lang w:val="nl-NL"/>
        </w:rPr>
        <w:t>dựa trên hóa đơn gốc.</w:t>
      </w:r>
    </w:p>
    <w:p w:rsidR="00060176" w:rsidRPr="008C0581" w:rsidRDefault="00060176" w:rsidP="00060176">
      <w:pPr>
        <w:pStyle w:val="ListParagraph"/>
        <w:tabs>
          <w:tab w:val="left" w:pos="993"/>
        </w:tabs>
        <w:ind w:left="1080"/>
        <w:jc w:val="both"/>
        <w:rPr>
          <w:lang w:val="nl-NL"/>
        </w:rPr>
      </w:pPr>
    </w:p>
    <w:p w:rsidR="00060176" w:rsidRPr="008C0581" w:rsidRDefault="00060176" w:rsidP="00060176">
      <w:pPr>
        <w:pStyle w:val="ListParagraph"/>
        <w:tabs>
          <w:tab w:val="left" w:pos="993"/>
        </w:tabs>
        <w:ind w:left="1080"/>
        <w:jc w:val="both"/>
        <w:rPr>
          <w:lang w:val="nl-NL"/>
        </w:rPr>
      </w:pPr>
    </w:p>
    <w:p w:rsidR="00060176" w:rsidRPr="008C0581" w:rsidRDefault="00060176" w:rsidP="00060176">
      <w:pPr>
        <w:pStyle w:val="ListParagraph"/>
        <w:numPr>
          <w:ilvl w:val="1"/>
          <w:numId w:val="5"/>
        </w:numPr>
        <w:tabs>
          <w:tab w:val="left" w:pos="540"/>
        </w:tabs>
        <w:jc w:val="both"/>
        <w:rPr>
          <w:b/>
          <w:iCs/>
          <w:u w:val="single"/>
          <w:lang w:val="nl-NL"/>
        </w:rPr>
      </w:pPr>
      <w:r w:rsidRPr="008C0581">
        <w:rPr>
          <w:b/>
          <w:iCs/>
          <w:lang w:val="nl-NL"/>
        </w:rPr>
        <w:t xml:space="preserve"> </w:t>
      </w:r>
      <w:r>
        <w:rPr>
          <w:b/>
          <w:iCs/>
          <w:u w:val="single"/>
          <w:lang w:val="nl-NL"/>
        </w:rPr>
        <w:t>Học bổng thực tập chuyên môn</w:t>
      </w:r>
      <w:r w:rsidRPr="008C0581">
        <w:rPr>
          <w:b/>
          <w:iCs/>
          <w:u w:val="single"/>
          <w:lang w:val="nl-NL"/>
        </w:rPr>
        <w:t xml:space="preserve"> từ 1 đến tối đa 3 tháng </w:t>
      </w:r>
    </w:p>
    <w:p w:rsidR="00060176" w:rsidRPr="008C0581" w:rsidRDefault="00060176" w:rsidP="00060176">
      <w:pPr>
        <w:tabs>
          <w:tab w:val="left" w:pos="540"/>
        </w:tabs>
        <w:ind w:left="900"/>
        <w:contextualSpacing/>
        <w:jc w:val="both"/>
        <w:rPr>
          <w:b/>
          <w:iCs/>
          <w:u w:val="single"/>
          <w:lang w:val="nl-NL"/>
        </w:rPr>
      </w:pPr>
    </w:p>
    <w:p w:rsidR="00060176" w:rsidRPr="008C0581" w:rsidRDefault="00060176" w:rsidP="00060176">
      <w:pPr>
        <w:pStyle w:val="ListParagraph"/>
        <w:numPr>
          <w:ilvl w:val="0"/>
          <w:numId w:val="7"/>
        </w:numPr>
        <w:tabs>
          <w:tab w:val="left" w:pos="993"/>
        </w:tabs>
        <w:ind w:hanging="11"/>
        <w:jc w:val="both"/>
        <w:rPr>
          <w:lang w:val="nl-NL"/>
        </w:rPr>
      </w:pPr>
      <w:r w:rsidRPr="008C0581">
        <w:rPr>
          <w:lang w:val="nl-NL"/>
        </w:rPr>
        <w:t>Học bổng hàng tháng: 1.124,81 EUR bao gồm các chi phí sinh hoạt (ăn uống, ...);</w:t>
      </w:r>
    </w:p>
    <w:p w:rsidR="00060176" w:rsidRPr="008C0581" w:rsidRDefault="00060176" w:rsidP="00060176">
      <w:pPr>
        <w:pStyle w:val="ListParagraph"/>
        <w:numPr>
          <w:ilvl w:val="0"/>
          <w:numId w:val="7"/>
        </w:numPr>
        <w:tabs>
          <w:tab w:val="left" w:pos="993"/>
        </w:tabs>
        <w:ind w:left="993" w:hanging="284"/>
        <w:jc w:val="both"/>
        <w:rPr>
          <w:lang w:val="nl-NL"/>
        </w:rPr>
      </w:pPr>
      <w:r w:rsidRPr="008C0581">
        <w:rPr>
          <w:lang w:val="nl-NL"/>
        </w:rPr>
        <w:t>Hoàn trả chi phí đi lại bằng phương tiện giao thông công cộng: 80 EUR/tháng</w:t>
      </w:r>
      <w:r>
        <w:rPr>
          <w:lang w:val="nl-NL"/>
        </w:rPr>
        <w:t>,</w:t>
      </w:r>
      <w:r w:rsidRPr="008C0581">
        <w:rPr>
          <w:lang w:val="nl-NL"/>
        </w:rPr>
        <w:t xml:space="preserve"> dựa trên hóa đơn gốc.</w:t>
      </w:r>
    </w:p>
    <w:p w:rsidR="00060176" w:rsidRDefault="00060176" w:rsidP="00060176">
      <w:pPr>
        <w:numPr>
          <w:ilvl w:val="0"/>
          <w:numId w:val="7"/>
        </w:numPr>
        <w:tabs>
          <w:tab w:val="left" w:pos="993"/>
        </w:tabs>
        <w:ind w:hanging="11"/>
        <w:contextualSpacing/>
        <w:jc w:val="both"/>
        <w:rPr>
          <w:lang w:val="nl-NL"/>
        </w:rPr>
      </w:pPr>
      <w:r w:rsidRPr="008C0581">
        <w:rPr>
          <w:lang w:val="nl-NL"/>
        </w:rPr>
        <w:t>Chi phí thuê nhà ở: 800 EUR</w:t>
      </w:r>
      <w:r>
        <w:rPr>
          <w:lang w:val="nl-NL"/>
        </w:rPr>
        <w:t>/tháng,</w:t>
      </w:r>
      <w:r w:rsidRPr="008C0581">
        <w:rPr>
          <w:lang w:val="nl-NL"/>
        </w:rPr>
        <w:t xml:space="preserve"> dựa trên hóa đơn gốc</w:t>
      </w:r>
      <w:r>
        <w:rPr>
          <w:lang w:val="nl-NL"/>
        </w:rPr>
        <w:t>.</w:t>
      </w:r>
    </w:p>
    <w:p w:rsidR="00060176" w:rsidRDefault="00060176" w:rsidP="00060176">
      <w:pPr>
        <w:numPr>
          <w:ilvl w:val="0"/>
          <w:numId w:val="7"/>
        </w:numPr>
        <w:tabs>
          <w:tab w:val="left" w:pos="993"/>
        </w:tabs>
        <w:ind w:hanging="11"/>
        <w:contextualSpacing/>
        <w:jc w:val="both"/>
        <w:rPr>
          <w:lang w:val="nl-NL"/>
        </w:rPr>
      </w:pPr>
      <w:r w:rsidRPr="006965D7">
        <w:rPr>
          <w:lang w:val="nl-NL"/>
        </w:rPr>
        <w:t>Hoàn trả chi phí ghi danh dựa trên hóa đơn gốc.</w:t>
      </w:r>
    </w:p>
    <w:p w:rsidR="00060176" w:rsidRPr="00243AD8" w:rsidRDefault="00060176" w:rsidP="00060176">
      <w:pPr>
        <w:numPr>
          <w:ilvl w:val="0"/>
          <w:numId w:val="7"/>
        </w:numPr>
        <w:tabs>
          <w:tab w:val="left" w:pos="993"/>
        </w:tabs>
        <w:ind w:hanging="11"/>
        <w:contextualSpacing/>
        <w:jc w:val="both"/>
        <w:rPr>
          <w:lang w:val="nl-NL"/>
        </w:rPr>
      </w:pPr>
      <w:r w:rsidRPr="00243AD8">
        <w:rPr>
          <w:lang w:val="nl-NL"/>
        </w:rPr>
        <w:t>Hoàn trả chi phí xét nghiệm Covid 200 EUR dựa trên hóa đơn gốc.</w:t>
      </w:r>
    </w:p>
    <w:p w:rsidR="00060176" w:rsidRDefault="00060176" w:rsidP="00060176">
      <w:pPr>
        <w:pStyle w:val="ListParagraph"/>
        <w:tabs>
          <w:tab w:val="left" w:pos="993"/>
        </w:tabs>
        <w:jc w:val="both"/>
        <w:rPr>
          <w:lang w:val="nl-NL"/>
        </w:rPr>
      </w:pPr>
    </w:p>
    <w:p w:rsidR="001A0F55" w:rsidRPr="00060176" w:rsidRDefault="001A0F55">
      <w:pPr>
        <w:rPr>
          <w:lang w:val="nl-NL"/>
        </w:rPr>
      </w:pPr>
    </w:p>
    <w:sectPr w:rsidR="001A0F55" w:rsidRPr="00060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0604"/>
    <w:multiLevelType w:val="multilevel"/>
    <w:tmpl w:val="5E5672A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7A32F01"/>
    <w:multiLevelType w:val="multilevel"/>
    <w:tmpl w:val="C66821A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3380DEA"/>
    <w:multiLevelType w:val="hybridMultilevel"/>
    <w:tmpl w:val="FEB4EE36"/>
    <w:lvl w:ilvl="0" w:tplc="43881BC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12B2E70"/>
    <w:multiLevelType w:val="hybridMultilevel"/>
    <w:tmpl w:val="994EC8F2"/>
    <w:lvl w:ilvl="0" w:tplc="FF74D0E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DD90DA1"/>
    <w:multiLevelType w:val="hybridMultilevel"/>
    <w:tmpl w:val="C1009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D60555"/>
    <w:multiLevelType w:val="hybridMultilevel"/>
    <w:tmpl w:val="9D08A332"/>
    <w:lvl w:ilvl="0" w:tplc="BAEA573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E15637"/>
    <w:multiLevelType w:val="multilevel"/>
    <w:tmpl w:val="A1C827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176"/>
    <w:rsid w:val="00060176"/>
    <w:rsid w:val="001A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0714"/>
  <w15:chartTrackingRefBased/>
  <w15:docId w15:val="{20DC9413-4A40-44B3-A486-AC461A37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176"/>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3428</Characters>
  <Application>Microsoft Office Word</Application>
  <DocSecurity>0</DocSecurity>
  <Lines>28</Lines>
  <Paragraphs>8</Paragraphs>
  <ScaleCrop>false</ScaleCrop>
  <Company>Hewlett-Packard Company</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2022-02-22T06:41:00Z</dcterms:created>
  <dcterms:modified xsi:type="dcterms:W3CDTF">2022-02-22T06:42:00Z</dcterms:modified>
</cp:coreProperties>
</file>